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A9" w:rsidRPr="00A45CA0" w:rsidRDefault="00ED33A9" w:rsidP="00ED33A9">
      <w:pPr>
        <w:ind w:firstLine="318"/>
        <w:jc w:val="center"/>
        <w:rPr>
          <w:rFonts w:ascii="Times New Roman" w:hAnsi="Times New Roman" w:cs="Times New Roman"/>
          <w:b/>
          <w:sz w:val="24"/>
          <w:szCs w:val="24"/>
        </w:rPr>
      </w:pPr>
      <w:r w:rsidRPr="00A45CA0">
        <w:rPr>
          <w:rFonts w:ascii="Times New Roman" w:hAnsi="Times New Roman" w:cs="Times New Roman"/>
          <w:b/>
          <w:sz w:val="24"/>
          <w:szCs w:val="24"/>
        </w:rPr>
        <w:t>SÜLEYMAN DEMİREL ÜNİVERSİTESİ NOT DÖNÜŞÜM TABLOSU</w:t>
      </w:r>
    </w:p>
    <w:p w:rsidR="00417C07" w:rsidRPr="00A45CA0" w:rsidRDefault="007A18F6" w:rsidP="00ED33A9">
      <w:pPr>
        <w:ind w:firstLine="318"/>
        <w:jc w:val="both"/>
        <w:rPr>
          <w:rFonts w:ascii="Times New Roman" w:hAnsi="Times New Roman" w:cs="Times New Roman"/>
          <w:sz w:val="24"/>
          <w:szCs w:val="24"/>
        </w:rPr>
      </w:pPr>
      <w:r w:rsidRPr="00A45CA0">
        <w:rPr>
          <w:rFonts w:ascii="Times New Roman" w:hAnsi="Times New Roman" w:cs="Times New Roman"/>
          <w:sz w:val="24"/>
          <w:szCs w:val="24"/>
        </w:rPr>
        <w:t>Farabi Değişim Programı kapsamında başka bir yükseköğre</w:t>
      </w:r>
      <w:r w:rsidR="00ED33A9" w:rsidRPr="00A45CA0">
        <w:rPr>
          <w:rFonts w:ascii="Times New Roman" w:hAnsi="Times New Roman" w:cs="Times New Roman"/>
          <w:sz w:val="24"/>
          <w:szCs w:val="24"/>
        </w:rPr>
        <w:t xml:space="preserve">tim kurumuna giden öğrencilerin </w:t>
      </w:r>
      <w:r w:rsidRPr="00A45CA0">
        <w:rPr>
          <w:rFonts w:ascii="Times New Roman" w:hAnsi="Times New Roman" w:cs="Times New Roman"/>
          <w:sz w:val="24"/>
          <w:szCs w:val="24"/>
        </w:rPr>
        <w:t>notları ile ilgili işlemlerde aşağıdaki açıklamalar doğrultusunda hareket edilecektir.</w:t>
      </w:r>
    </w:p>
    <w:p w:rsidR="007A18F6" w:rsidRPr="00A45CA0" w:rsidRDefault="007A18F6" w:rsidP="00ED33A9">
      <w:pPr>
        <w:pStyle w:val="ListeParagraf"/>
        <w:numPr>
          <w:ilvl w:val="0"/>
          <w:numId w:val="3"/>
        </w:numPr>
        <w:jc w:val="both"/>
        <w:rPr>
          <w:rFonts w:ascii="Times New Roman" w:hAnsi="Times New Roman" w:cs="Times New Roman"/>
          <w:sz w:val="24"/>
          <w:szCs w:val="24"/>
        </w:rPr>
      </w:pPr>
      <w:r w:rsidRPr="00A45CA0">
        <w:rPr>
          <w:rFonts w:ascii="Times New Roman" w:hAnsi="Times New Roman" w:cs="Times New Roman"/>
          <w:sz w:val="24"/>
          <w:szCs w:val="24"/>
        </w:rPr>
        <w:t>Her iki yükseköğretim kurumu da aynı harf notlarını kullanıyorsa notlar herhangi bir değişiklik yapılmadan gönderildiği şekliyle sisteme işlenmiştir. Ancak öğrencinin GNO hesaplanırken verilen harf notuna karşılık gelen üniversitemiz katsayı karşılığı kullanılmalıdır.</w:t>
      </w:r>
    </w:p>
    <w:p w:rsidR="006F0E01" w:rsidRPr="00A45CA0" w:rsidRDefault="007A18F6" w:rsidP="00ED33A9">
      <w:pPr>
        <w:pStyle w:val="ListeParagraf"/>
        <w:jc w:val="both"/>
        <w:rPr>
          <w:rFonts w:ascii="Times New Roman" w:hAnsi="Times New Roman" w:cs="Times New Roman"/>
          <w:sz w:val="24"/>
          <w:szCs w:val="24"/>
        </w:rPr>
      </w:pPr>
      <w:r w:rsidRPr="00A45CA0">
        <w:rPr>
          <w:rFonts w:ascii="Times New Roman" w:hAnsi="Times New Roman" w:cs="Times New Roman"/>
          <w:b/>
          <w:sz w:val="24"/>
          <w:szCs w:val="24"/>
        </w:rPr>
        <w:t>Örneğin;</w:t>
      </w:r>
      <w:r w:rsidRPr="00A45CA0">
        <w:rPr>
          <w:rFonts w:ascii="Times New Roman" w:hAnsi="Times New Roman" w:cs="Times New Roman"/>
          <w:sz w:val="24"/>
          <w:szCs w:val="24"/>
        </w:rPr>
        <w:t xml:space="preserve"> bir öğrencinin diğer yükseköğretim kurumunda aldığı Hukuk Sosyolojisi dersine, 62 puan karşılığında CC harf notu ve </w:t>
      </w:r>
      <w:proofErr w:type="gramStart"/>
      <w:r w:rsidRPr="00A45CA0">
        <w:rPr>
          <w:rFonts w:ascii="Times New Roman" w:hAnsi="Times New Roman" w:cs="Times New Roman"/>
          <w:sz w:val="24"/>
          <w:szCs w:val="24"/>
        </w:rPr>
        <w:t>2.3</w:t>
      </w:r>
      <w:proofErr w:type="gramEnd"/>
      <w:r w:rsidRPr="00A45CA0">
        <w:rPr>
          <w:rFonts w:ascii="Times New Roman" w:hAnsi="Times New Roman" w:cs="Times New Roman"/>
          <w:sz w:val="24"/>
          <w:szCs w:val="24"/>
        </w:rPr>
        <w:t xml:space="preserve"> katsayı karşılığı verilmiş olsun. </w:t>
      </w:r>
      <w:r w:rsidRPr="00A45CA0">
        <w:rPr>
          <w:rFonts w:ascii="Times New Roman" w:hAnsi="Times New Roman" w:cs="Times New Roman"/>
          <w:b/>
          <w:sz w:val="24"/>
          <w:szCs w:val="24"/>
          <w:u w:val="single"/>
        </w:rPr>
        <w:t xml:space="preserve">CC harf notu üniversitemiz değerlendirme sisteminde </w:t>
      </w:r>
      <w:r w:rsidR="006F0E01" w:rsidRPr="00A45CA0">
        <w:rPr>
          <w:rFonts w:ascii="Times New Roman" w:hAnsi="Times New Roman" w:cs="Times New Roman"/>
          <w:b/>
          <w:sz w:val="24"/>
          <w:szCs w:val="24"/>
          <w:u w:val="single"/>
        </w:rPr>
        <w:t>kullanılmakta olduğundan not dönüşümü işlemi</w:t>
      </w:r>
      <w:r w:rsidR="006F0E01" w:rsidRPr="00A45CA0">
        <w:rPr>
          <w:rFonts w:ascii="Times New Roman" w:hAnsi="Times New Roman" w:cs="Times New Roman"/>
          <w:sz w:val="24"/>
          <w:szCs w:val="24"/>
        </w:rPr>
        <w:t xml:space="preserve"> </w:t>
      </w:r>
      <w:r w:rsidR="006F0E01" w:rsidRPr="00A45CA0">
        <w:rPr>
          <w:rFonts w:ascii="Times New Roman" w:hAnsi="Times New Roman" w:cs="Times New Roman"/>
          <w:b/>
          <w:sz w:val="24"/>
          <w:szCs w:val="24"/>
          <w:u w:val="single"/>
        </w:rPr>
        <w:t>yapılmamalıdır.</w:t>
      </w:r>
      <w:r w:rsidR="006F0E01" w:rsidRPr="00A45CA0">
        <w:rPr>
          <w:rFonts w:ascii="Times New Roman" w:hAnsi="Times New Roman" w:cs="Times New Roman"/>
          <w:sz w:val="24"/>
          <w:szCs w:val="24"/>
        </w:rPr>
        <w:t xml:space="preserve"> Ancak GNO hesaplanırken diğer üniversitenin katsayısı yani </w:t>
      </w:r>
      <w:proofErr w:type="gramStart"/>
      <w:r w:rsidR="006F0E01" w:rsidRPr="00A45CA0">
        <w:rPr>
          <w:rFonts w:ascii="Times New Roman" w:hAnsi="Times New Roman" w:cs="Times New Roman"/>
          <w:sz w:val="24"/>
          <w:szCs w:val="24"/>
        </w:rPr>
        <w:t>2.3</w:t>
      </w:r>
      <w:proofErr w:type="gramEnd"/>
      <w:r w:rsidR="006F0E01" w:rsidRPr="00A45CA0">
        <w:rPr>
          <w:rFonts w:ascii="Times New Roman" w:hAnsi="Times New Roman" w:cs="Times New Roman"/>
          <w:sz w:val="24"/>
          <w:szCs w:val="24"/>
        </w:rPr>
        <w:t xml:space="preserve"> değil üniversitemizin CC katsayı karşılığı olan 2.0 dikkate alınmalıdır.</w:t>
      </w:r>
    </w:p>
    <w:p w:rsidR="00F420C5" w:rsidRDefault="006F0E01" w:rsidP="002D7E66">
      <w:pPr>
        <w:pStyle w:val="ListeParagraf"/>
        <w:numPr>
          <w:ilvl w:val="0"/>
          <w:numId w:val="3"/>
        </w:numPr>
        <w:jc w:val="both"/>
        <w:rPr>
          <w:rFonts w:ascii="Times New Roman" w:hAnsi="Times New Roman" w:cs="Times New Roman"/>
          <w:sz w:val="24"/>
          <w:szCs w:val="24"/>
        </w:rPr>
      </w:pPr>
      <w:r w:rsidRPr="00A45CA0">
        <w:rPr>
          <w:rFonts w:ascii="Times New Roman" w:hAnsi="Times New Roman" w:cs="Times New Roman"/>
          <w:sz w:val="24"/>
          <w:szCs w:val="24"/>
        </w:rPr>
        <w:t>Her iki yükseköğretim kurumunun harf notlarında farklılık var ise, not dönü</w:t>
      </w:r>
      <w:r w:rsidR="00F420C5">
        <w:rPr>
          <w:rFonts w:ascii="Times New Roman" w:hAnsi="Times New Roman" w:cs="Times New Roman"/>
          <w:sz w:val="24"/>
          <w:szCs w:val="24"/>
        </w:rPr>
        <w:t xml:space="preserve">ştürme işlemleri </w:t>
      </w:r>
      <w:r w:rsidR="00F420C5" w:rsidRPr="00F420C5">
        <w:rPr>
          <w:rFonts w:ascii="Times New Roman" w:hAnsi="Times New Roman" w:cs="Times New Roman"/>
          <w:sz w:val="24"/>
          <w:szCs w:val="24"/>
        </w:rPr>
        <w:t xml:space="preserve">Üniversitemiz Bağıl </w:t>
      </w:r>
      <w:r w:rsidR="00F420C5">
        <w:rPr>
          <w:rFonts w:ascii="Times New Roman" w:hAnsi="Times New Roman" w:cs="Times New Roman"/>
          <w:sz w:val="24"/>
          <w:szCs w:val="24"/>
        </w:rPr>
        <w:t xml:space="preserve">Değerlendirme Yönergesine doğrultusunda hazırlanan aşağıdaki tabloya göre yapılacaktır. </w:t>
      </w:r>
    </w:p>
    <w:p w:rsidR="002D7E66" w:rsidRPr="002D7E66" w:rsidRDefault="002D7E66" w:rsidP="00AE54FE">
      <w:pPr>
        <w:pStyle w:val="ListeParagraf"/>
        <w:ind w:left="1070"/>
        <w:jc w:val="both"/>
        <w:rPr>
          <w:rFonts w:ascii="Times New Roman" w:hAnsi="Times New Roman" w:cs="Times New Roman"/>
          <w:sz w:val="24"/>
          <w:szCs w:val="24"/>
        </w:rPr>
      </w:pPr>
    </w:p>
    <w:tbl>
      <w:tblPr>
        <w:tblW w:w="0" w:type="auto"/>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1914"/>
        <w:gridCol w:w="3260"/>
      </w:tblGrid>
      <w:tr w:rsidR="00F420C5" w:rsidRPr="002870EC" w:rsidTr="00F420C5">
        <w:trPr>
          <w:trHeight w:val="420"/>
          <w:jc w:val="center"/>
        </w:trPr>
        <w:tc>
          <w:tcPr>
            <w:tcW w:w="7229" w:type="dxa"/>
            <w:gridSpan w:val="3"/>
            <w:tcBorders>
              <w:top w:val="nil"/>
              <w:left w:val="nil"/>
              <w:bottom w:val="single" w:sz="4" w:space="0" w:color="auto"/>
              <w:right w:val="nil"/>
            </w:tcBorders>
          </w:tcPr>
          <w:p w:rsidR="00F420C5" w:rsidRPr="000C17C5" w:rsidRDefault="00F420C5" w:rsidP="00F420C5">
            <w:pPr>
              <w:jc w:val="center"/>
              <w:rPr>
                <w:b/>
                <w:bCs/>
                <w:iCs/>
                <w:sz w:val="24"/>
                <w:szCs w:val="24"/>
              </w:rPr>
            </w:pPr>
            <w:r w:rsidRPr="000C17C5">
              <w:rPr>
                <w:b/>
                <w:bCs/>
                <w:iCs/>
                <w:sz w:val="24"/>
                <w:szCs w:val="24"/>
              </w:rPr>
              <w:t>Harf notu, katsayısı ve 100 puan üzerinden değer aralığı</w:t>
            </w:r>
          </w:p>
        </w:tc>
      </w:tr>
      <w:tr w:rsidR="00F420C5" w:rsidRPr="002870EC" w:rsidTr="00F420C5">
        <w:trPr>
          <w:trHeight w:val="525"/>
          <w:jc w:val="center"/>
        </w:trPr>
        <w:tc>
          <w:tcPr>
            <w:tcW w:w="2055" w:type="dxa"/>
            <w:tcBorders>
              <w:top w:val="single" w:sz="4" w:space="0" w:color="auto"/>
              <w:left w:val="single" w:sz="4" w:space="0" w:color="auto"/>
              <w:bottom w:val="single" w:sz="4" w:space="0" w:color="auto"/>
              <w:right w:val="single" w:sz="4" w:space="0" w:color="auto"/>
            </w:tcBorders>
          </w:tcPr>
          <w:p w:rsidR="00F420C5" w:rsidRPr="000C17C5" w:rsidRDefault="00F420C5" w:rsidP="00F420C5">
            <w:pPr>
              <w:jc w:val="center"/>
              <w:rPr>
                <w:b/>
                <w:bCs/>
                <w:iCs/>
                <w:sz w:val="24"/>
                <w:szCs w:val="24"/>
              </w:rPr>
            </w:pPr>
            <w:r w:rsidRPr="000C17C5">
              <w:rPr>
                <w:b/>
                <w:bCs/>
                <w:iCs/>
                <w:sz w:val="24"/>
                <w:szCs w:val="24"/>
                <w:u w:val="single"/>
              </w:rPr>
              <w:t>Harf Notu</w:t>
            </w:r>
          </w:p>
        </w:tc>
        <w:tc>
          <w:tcPr>
            <w:tcW w:w="1914" w:type="dxa"/>
            <w:tcBorders>
              <w:top w:val="single" w:sz="4" w:space="0" w:color="auto"/>
              <w:left w:val="single" w:sz="4" w:space="0" w:color="auto"/>
              <w:bottom w:val="single" w:sz="4" w:space="0" w:color="auto"/>
              <w:right w:val="single" w:sz="4" w:space="0" w:color="auto"/>
            </w:tcBorders>
          </w:tcPr>
          <w:p w:rsidR="00F420C5" w:rsidRPr="002870EC" w:rsidRDefault="00F420C5" w:rsidP="00F420C5">
            <w:pPr>
              <w:jc w:val="center"/>
              <w:rPr>
                <w:b/>
                <w:bCs/>
                <w:iCs/>
                <w:sz w:val="24"/>
                <w:szCs w:val="24"/>
              </w:rPr>
            </w:pPr>
            <w:r w:rsidRPr="002870EC">
              <w:rPr>
                <w:b/>
                <w:bCs/>
                <w:iCs/>
                <w:sz w:val="24"/>
                <w:szCs w:val="24"/>
                <w:u w:val="single"/>
              </w:rPr>
              <w:t>Katsayı</w:t>
            </w:r>
          </w:p>
        </w:tc>
        <w:tc>
          <w:tcPr>
            <w:tcW w:w="3260" w:type="dxa"/>
            <w:tcBorders>
              <w:top w:val="single" w:sz="4" w:space="0" w:color="auto"/>
              <w:left w:val="single" w:sz="4" w:space="0" w:color="auto"/>
              <w:bottom w:val="single" w:sz="4" w:space="0" w:color="auto"/>
              <w:right w:val="single" w:sz="4" w:space="0" w:color="auto"/>
            </w:tcBorders>
          </w:tcPr>
          <w:p w:rsidR="00F420C5" w:rsidRPr="002870EC" w:rsidRDefault="00F420C5" w:rsidP="00F420C5">
            <w:pPr>
              <w:jc w:val="center"/>
              <w:rPr>
                <w:b/>
                <w:bCs/>
                <w:iCs/>
                <w:sz w:val="24"/>
                <w:szCs w:val="24"/>
              </w:rPr>
            </w:pPr>
            <w:r w:rsidRPr="002870EC">
              <w:rPr>
                <w:b/>
                <w:bCs/>
                <w:iCs/>
                <w:sz w:val="24"/>
                <w:szCs w:val="24"/>
                <w:u w:val="single"/>
              </w:rPr>
              <w:t>100 Puan Üzerinden Değeri</w:t>
            </w:r>
          </w:p>
        </w:tc>
      </w:tr>
      <w:tr w:rsidR="00F420C5" w:rsidRPr="002870EC" w:rsidTr="00F420C5">
        <w:trPr>
          <w:trHeight w:hRule="exact" w:val="397"/>
          <w:jc w:val="center"/>
        </w:trPr>
        <w:tc>
          <w:tcPr>
            <w:tcW w:w="2055"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AA</w:t>
            </w:r>
          </w:p>
        </w:tc>
        <w:tc>
          <w:tcPr>
            <w:tcW w:w="1914"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Pr>
                <w:bCs/>
                <w:iCs/>
                <w:sz w:val="24"/>
                <w:szCs w:val="24"/>
              </w:rPr>
              <w:t>3.67-</w:t>
            </w:r>
            <w:r w:rsidRPr="002870EC">
              <w:rPr>
                <w:bCs/>
                <w:iCs/>
                <w:sz w:val="24"/>
                <w:szCs w:val="24"/>
              </w:rPr>
              <w:t>4.00</w:t>
            </w:r>
          </w:p>
        </w:tc>
        <w:tc>
          <w:tcPr>
            <w:tcW w:w="3260"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88-100</w:t>
            </w:r>
          </w:p>
        </w:tc>
      </w:tr>
      <w:tr w:rsidR="00F420C5" w:rsidRPr="002870EC" w:rsidTr="00F420C5">
        <w:trPr>
          <w:trHeight w:hRule="exact" w:val="397"/>
          <w:jc w:val="center"/>
        </w:trPr>
        <w:tc>
          <w:tcPr>
            <w:tcW w:w="2055"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BA</w:t>
            </w:r>
          </w:p>
        </w:tc>
        <w:tc>
          <w:tcPr>
            <w:tcW w:w="1914"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3.50</w:t>
            </w:r>
            <w:r>
              <w:rPr>
                <w:bCs/>
                <w:iCs/>
                <w:sz w:val="24"/>
                <w:szCs w:val="24"/>
              </w:rPr>
              <w:t>-3.66</w:t>
            </w:r>
          </w:p>
        </w:tc>
        <w:tc>
          <w:tcPr>
            <w:tcW w:w="3260"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81-87</w:t>
            </w:r>
          </w:p>
        </w:tc>
      </w:tr>
      <w:tr w:rsidR="00F420C5" w:rsidRPr="002870EC" w:rsidTr="00F420C5">
        <w:trPr>
          <w:trHeight w:hRule="exact" w:val="397"/>
          <w:jc w:val="center"/>
        </w:trPr>
        <w:tc>
          <w:tcPr>
            <w:tcW w:w="2055"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BB</w:t>
            </w:r>
          </w:p>
        </w:tc>
        <w:tc>
          <w:tcPr>
            <w:tcW w:w="1914"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3.00</w:t>
            </w:r>
            <w:r>
              <w:rPr>
                <w:bCs/>
                <w:iCs/>
                <w:sz w:val="24"/>
                <w:szCs w:val="24"/>
              </w:rPr>
              <w:t>-3.49</w:t>
            </w:r>
          </w:p>
        </w:tc>
        <w:tc>
          <w:tcPr>
            <w:tcW w:w="3260"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74-80</w:t>
            </w:r>
          </w:p>
        </w:tc>
      </w:tr>
      <w:tr w:rsidR="00F420C5" w:rsidRPr="002870EC" w:rsidTr="00F420C5">
        <w:trPr>
          <w:trHeight w:hRule="exact" w:val="397"/>
          <w:jc w:val="center"/>
        </w:trPr>
        <w:tc>
          <w:tcPr>
            <w:tcW w:w="2055"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CB</w:t>
            </w:r>
          </w:p>
        </w:tc>
        <w:tc>
          <w:tcPr>
            <w:tcW w:w="1914"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2.50</w:t>
            </w:r>
            <w:r>
              <w:rPr>
                <w:bCs/>
                <w:iCs/>
                <w:sz w:val="24"/>
                <w:szCs w:val="24"/>
              </w:rPr>
              <w:t>-2.99</w:t>
            </w:r>
          </w:p>
        </w:tc>
        <w:tc>
          <w:tcPr>
            <w:tcW w:w="3260"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67-73</w:t>
            </w:r>
          </w:p>
        </w:tc>
        <w:bookmarkStart w:id="0" w:name="_GoBack"/>
        <w:bookmarkEnd w:id="0"/>
      </w:tr>
      <w:tr w:rsidR="00F420C5" w:rsidRPr="002870EC" w:rsidTr="00F420C5">
        <w:trPr>
          <w:trHeight w:hRule="exact" w:val="397"/>
          <w:jc w:val="center"/>
        </w:trPr>
        <w:tc>
          <w:tcPr>
            <w:tcW w:w="2055"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CC</w:t>
            </w:r>
          </w:p>
        </w:tc>
        <w:tc>
          <w:tcPr>
            <w:tcW w:w="1914"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2.00</w:t>
            </w:r>
            <w:r>
              <w:rPr>
                <w:bCs/>
                <w:iCs/>
                <w:sz w:val="24"/>
                <w:szCs w:val="24"/>
              </w:rPr>
              <w:t>-2.49</w:t>
            </w:r>
          </w:p>
        </w:tc>
        <w:tc>
          <w:tcPr>
            <w:tcW w:w="3260"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60-66</w:t>
            </w:r>
          </w:p>
        </w:tc>
      </w:tr>
      <w:tr w:rsidR="00F420C5" w:rsidRPr="002870EC" w:rsidTr="00F420C5">
        <w:trPr>
          <w:trHeight w:hRule="exact" w:val="397"/>
          <w:jc w:val="center"/>
        </w:trPr>
        <w:tc>
          <w:tcPr>
            <w:tcW w:w="2055"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DC</w:t>
            </w:r>
          </w:p>
        </w:tc>
        <w:tc>
          <w:tcPr>
            <w:tcW w:w="1914"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1.50</w:t>
            </w:r>
            <w:r>
              <w:rPr>
                <w:bCs/>
                <w:iCs/>
                <w:sz w:val="24"/>
                <w:szCs w:val="24"/>
              </w:rPr>
              <w:t>-1.99</w:t>
            </w:r>
          </w:p>
        </w:tc>
        <w:tc>
          <w:tcPr>
            <w:tcW w:w="3260"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53-59</w:t>
            </w:r>
          </w:p>
        </w:tc>
      </w:tr>
      <w:tr w:rsidR="00F420C5" w:rsidRPr="002870EC" w:rsidTr="00F420C5">
        <w:trPr>
          <w:trHeight w:hRule="exact" w:val="397"/>
          <w:jc w:val="center"/>
        </w:trPr>
        <w:tc>
          <w:tcPr>
            <w:tcW w:w="2055"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DD</w:t>
            </w:r>
          </w:p>
        </w:tc>
        <w:tc>
          <w:tcPr>
            <w:tcW w:w="1914"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1.00</w:t>
            </w:r>
            <w:r>
              <w:rPr>
                <w:bCs/>
                <w:iCs/>
                <w:sz w:val="24"/>
                <w:szCs w:val="24"/>
              </w:rPr>
              <w:t>-1.49</w:t>
            </w:r>
          </w:p>
        </w:tc>
        <w:tc>
          <w:tcPr>
            <w:tcW w:w="3260"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46-52</w:t>
            </w:r>
          </w:p>
        </w:tc>
      </w:tr>
      <w:tr w:rsidR="00F420C5" w:rsidRPr="002870EC" w:rsidTr="00F420C5">
        <w:trPr>
          <w:trHeight w:hRule="exact" w:val="397"/>
          <w:jc w:val="center"/>
        </w:trPr>
        <w:tc>
          <w:tcPr>
            <w:tcW w:w="2055"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FD</w:t>
            </w:r>
          </w:p>
        </w:tc>
        <w:tc>
          <w:tcPr>
            <w:tcW w:w="1914"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0.50</w:t>
            </w:r>
            <w:r>
              <w:rPr>
                <w:bCs/>
                <w:iCs/>
                <w:sz w:val="24"/>
                <w:szCs w:val="24"/>
              </w:rPr>
              <w:t>-0.99</w:t>
            </w:r>
          </w:p>
        </w:tc>
        <w:tc>
          <w:tcPr>
            <w:tcW w:w="3260"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39-45</w:t>
            </w:r>
          </w:p>
        </w:tc>
      </w:tr>
      <w:tr w:rsidR="00F420C5" w:rsidRPr="002870EC" w:rsidTr="00F420C5">
        <w:trPr>
          <w:trHeight w:hRule="exact" w:val="397"/>
          <w:jc w:val="center"/>
        </w:trPr>
        <w:tc>
          <w:tcPr>
            <w:tcW w:w="2055"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FF</w:t>
            </w:r>
          </w:p>
        </w:tc>
        <w:tc>
          <w:tcPr>
            <w:tcW w:w="1914"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0.00</w:t>
            </w:r>
            <w:r w:rsidR="000F538A">
              <w:rPr>
                <w:bCs/>
                <w:iCs/>
                <w:sz w:val="24"/>
                <w:szCs w:val="24"/>
              </w:rPr>
              <w:t>-0.49</w:t>
            </w:r>
          </w:p>
        </w:tc>
        <w:tc>
          <w:tcPr>
            <w:tcW w:w="3260" w:type="dxa"/>
            <w:tcBorders>
              <w:top w:val="single" w:sz="4" w:space="0" w:color="auto"/>
              <w:left w:val="single" w:sz="4" w:space="0" w:color="auto"/>
              <w:bottom w:val="single" w:sz="4" w:space="0" w:color="auto"/>
              <w:right w:val="single" w:sz="4" w:space="0" w:color="auto"/>
            </w:tcBorders>
            <w:vAlign w:val="center"/>
          </w:tcPr>
          <w:p w:rsidR="00F420C5" w:rsidRPr="002870EC" w:rsidRDefault="00F420C5" w:rsidP="00F420C5">
            <w:pPr>
              <w:jc w:val="center"/>
              <w:rPr>
                <w:bCs/>
                <w:iCs/>
                <w:sz w:val="24"/>
                <w:szCs w:val="24"/>
              </w:rPr>
            </w:pPr>
            <w:r w:rsidRPr="002870EC">
              <w:rPr>
                <w:bCs/>
                <w:iCs/>
                <w:sz w:val="24"/>
                <w:szCs w:val="24"/>
              </w:rPr>
              <w:t>0-38</w:t>
            </w:r>
          </w:p>
        </w:tc>
      </w:tr>
    </w:tbl>
    <w:p w:rsidR="00F420C5" w:rsidRPr="002870EC" w:rsidRDefault="00F420C5" w:rsidP="00F420C5">
      <w:pPr>
        <w:jc w:val="both"/>
        <w:rPr>
          <w:b/>
          <w:sz w:val="24"/>
          <w:szCs w:val="24"/>
        </w:rPr>
      </w:pPr>
    </w:p>
    <w:p w:rsidR="00C20607" w:rsidRPr="00A45CA0" w:rsidRDefault="00C20607" w:rsidP="00A45CA0">
      <w:pPr>
        <w:spacing w:after="0"/>
        <w:ind w:left="391"/>
        <w:jc w:val="both"/>
        <w:rPr>
          <w:rFonts w:ascii="Times New Roman" w:hAnsi="Times New Roman" w:cs="Times New Roman"/>
          <w:sz w:val="24"/>
          <w:szCs w:val="24"/>
        </w:rPr>
      </w:pPr>
      <w:r w:rsidRPr="00A45CA0">
        <w:rPr>
          <w:rFonts w:ascii="Times New Roman" w:hAnsi="Times New Roman" w:cs="Times New Roman"/>
          <w:sz w:val="24"/>
          <w:szCs w:val="24"/>
        </w:rPr>
        <w:t xml:space="preserve">Bu bağlamda not girişlerinin sağlıklı bir şekilde yapılabilmesi amacıyla öğrencinin diğer yükseköğretim kurumundan aldığı fazla kredinin alan derslerinden öğrencinin hangi </w:t>
      </w:r>
      <w:proofErr w:type="gramStart"/>
      <w:r w:rsidRPr="00A45CA0">
        <w:rPr>
          <w:rFonts w:ascii="Times New Roman" w:hAnsi="Times New Roman" w:cs="Times New Roman"/>
          <w:sz w:val="24"/>
          <w:szCs w:val="24"/>
        </w:rPr>
        <w:t>yarıyıldaki</w:t>
      </w:r>
      <w:proofErr w:type="gramEnd"/>
      <w:r w:rsidRPr="00A45CA0">
        <w:rPr>
          <w:rFonts w:ascii="Times New Roman" w:hAnsi="Times New Roman" w:cs="Times New Roman"/>
          <w:sz w:val="24"/>
          <w:szCs w:val="24"/>
        </w:rPr>
        <w:t xml:space="preserve"> hangi dersinin yerine sayılacağını </w:t>
      </w:r>
      <w:r w:rsidR="000326F6" w:rsidRPr="00A45CA0">
        <w:rPr>
          <w:rFonts w:ascii="Times New Roman" w:hAnsi="Times New Roman" w:cs="Times New Roman"/>
          <w:sz w:val="24"/>
          <w:szCs w:val="24"/>
        </w:rPr>
        <w:t xml:space="preserve">belirten </w:t>
      </w:r>
      <w:r w:rsidR="00A45CA0">
        <w:rPr>
          <w:rFonts w:ascii="Times New Roman" w:hAnsi="Times New Roman" w:cs="Times New Roman"/>
          <w:sz w:val="24"/>
          <w:szCs w:val="24"/>
        </w:rPr>
        <w:t>Öğrenim Protokolü eşleştirmesi dikkate alınarak, Bölüm Kurulu ve Fakülte Yönetim K</w:t>
      </w:r>
      <w:r w:rsidR="000326F6" w:rsidRPr="00A45CA0">
        <w:rPr>
          <w:rFonts w:ascii="Times New Roman" w:hAnsi="Times New Roman" w:cs="Times New Roman"/>
          <w:sz w:val="24"/>
          <w:szCs w:val="24"/>
        </w:rPr>
        <w:t xml:space="preserve">urulu kararı ile birlikte yazımız ekinde gönderilen formun tüm bölümlerinin eksiksiz doldurulmuş olarak </w:t>
      </w:r>
      <w:r w:rsidR="00A45CA0">
        <w:rPr>
          <w:rFonts w:ascii="Times New Roman" w:hAnsi="Times New Roman" w:cs="Times New Roman"/>
          <w:sz w:val="24"/>
          <w:szCs w:val="24"/>
        </w:rPr>
        <w:t>10 gün</w:t>
      </w:r>
      <w:r w:rsidR="000326F6" w:rsidRPr="00A45CA0">
        <w:rPr>
          <w:rFonts w:ascii="Times New Roman" w:hAnsi="Times New Roman" w:cs="Times New Roman"/>
          <w:sz w:val="24"/>
          <w:szCs w:val="24"/>
        </w:rPr>
        <w:t xml:space="preserve"> </w:t>
      </w:r>
      <w:r w:rsidR="00A45CA0">
        <w:rPr>
          <w:rFonts w:ascii="Times New Roman" w:hAnsi="Times New Roman" w:cs="Times New Roman"/>
          <w:sz w:val="24"/>
          <w:szCs w:val="24"/>
        </w:rPr>
        <w:t xml:space="preserve">içerisinde </w:t>
      </w:r>
      <w:r w:rsidR="00ED33A9" w:rsidRPr="00A45CA0">
        <w:rPr>
          <w:rFonts w:ascii="Times New Roman" w:hAnsi="Times New Roman" w:cs="Times New Roman"/>
          <w:sz w:val="24"/>
          <w:szCs w:val="24"/>
        </w:rPr>
        <w:t>Fakülteniz</w:t>
      </w:r>
      <w:r w:rsidR="000326F6" w:rsidRPr="00A45CA0">
        <w:rPr>
          <w:rFonts w:ascii="Times New Roman" w:hAnsi="Times New Roman" w:cs="Times New Roman"/>
          <w:sz w:val="24"/>
          <w:szCs w:val="24"/>
        </w:rPr>
        <w:t xml:space="preserve"> Öğrenci İşleri </w:t>
      </w:r>
      <w:r w:rsidR="00ED33A9" w:rsidRPr="00A45CA0">
        <w:rPr>
          <w:rFonts w:ascii="Times New Roman" w:hAnsi="Times New Roman" w:cs="Times New Roman"/>
          <w:sz w:val="24"/>
          <w:szCs w:val="24"/>
        </w:rPr>
        <w:t xml:space="preserve">tarafından sisteme aktarılması </w:t>
      </w:r>
      <w:r w:rsidR="000326F6" w:rsidRPr="00A45CA0">
        <w:rPr>
          <w:rFonts w:ascii="Times New Roman" w:hAnsi="Times New Roman" w:cs="Times New Roman"/>
          <w:sz w:val="24"/>
          <w:szCs w:val="24"/>
        </w:rPr>
        <w:t xml:space="preserve">gerekmektedir.  </w:t>
      </w:r>
    </w:p>
    <w:sectPr w:rsidR="00C20607" w:rsidRPr="00A45CA0" w:rsidSect="00417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30E52"/>
    <w:multiLevelType w:val="hybridMultilevel"/>
    <w:tmpl w:val="981E37A8"/>
    <w:lvl w:ilvl="0" w:tplc="20DAAF04">
      <w:start w:val="1"/>
      <w:numFmt w:val="decimal"/>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
    <w:nsid w:val="24B27CBE"/>
    <w:multiLevelType w:val="hybridMultilevel"/>
    <w:tmpl w:val="60762C7C"/>
    <w:lvl w:ilvl="0" w:tplc="DD603A84">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2">
    <w:nsid w:val="323E2F0A"/>
    <w:multiLevelType w:val="hybridMultilevel"/>
    <w:tmpl w:val="15DE69BA"/>
    <w:lvl w:ilvl="0" w:tplc="8F7CF386">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F6"/>
    <w:rsid w:val="00014494"/>
    <w:rsid w:val="000326F6"/>
    <w:rsid w:val="000F538A"/>
    <w:rsid w:val="0025750B"/>
    <w:rsid w:val="002D7E66"/>
    <w:rsid w:val="003C5C78"/>
    <w:rsid w:val="00417C07"/>
    <w:rsid w:val="005C3C55"/>
    <w:rsid w:val="006F0E01"/>
    <w:rsid w:val="007121F7"/>
    <w:rsid w:val="007A18F6"/>
    <w:rsid w:val="00841FEE"/>
    <w:rsid w:val="009E6B5D"/>
    <w:rsid w:val="00A45CA0"/>
    <w:rsid w:val="00AE54FE"/>
    <w:rsid w:val="00B2612C"/>
    <w:rsid w:val="00C20607"/>
    <w:rsid w:val="00CD6A0C"/>
    <w:rsid w:val="00DF34E5"/>
    <w:rsid w:val="00E73BAD"/>
    <w:rsid w:val="00EA3B6E"/>
    <w:rsid w:val="00ED33A9"/>
    <w:rsid w:val="00F42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01"/>
    <w:pPr>
      <w:ind w:left="39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18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01"/>
    <w:pPr>
      <w:ind w:left="39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1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Şehir Hayatı">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EEE4-61A4-49E3-A16D-8D8A2BE8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283</Words>
  <Characters>1614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SDU</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2012-11-29T09:33:00Z</cp:lastPrinted>
  <dcterms:created xsi:type="dcterms:W3CDTF">2012-11-29T09:27:00Z</dcterms:created>
  <dcterms:modified xsi:type="dcterms:W3CDTF">2012-11-29T10:41:00Z</dcterms:modified>
</cp:coreProperties>
</file>